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D33C9C8" w14:textId="2F9C5E93" w:rsidR="00F66797" w:rsidRPr="00EB5000" w:rsidRDefault="00F66797" w:rsidP="00B53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Projektová dokumentace </w:t>
      </w:r>
      <w:r w:rsidR="0081659C">
        <w:rPr>
          <w:rFonts w:ascii="Arial" w:eastAsia="Arial" w:hAnsi="Arial" w:cs="Arial"/>
          <w:b/>
          <w:bCs/>
          <w:sz w:val="20"/>
          <w:szCs w:val="20"/>
        </w:rPr>
        <w:t>– technická studie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: </w:t>
      </w:r>
      <w:r w:rsidR="0081659C">
        <w:rPr>
          <w:rFonts w:ascii="Arial" w:eastAsia="Arial" w:hAnsi="Arial" w:cs="Arial"/>
          <w:b/>
          <w:bCs/>
          <w:sz w:val="20"/>
          <w:szCs w:val="20"/>
        </w:rPr>
        <w:t xml:space="preserve">II/209 a II/222 Silniční obchvat Chodov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11</cp:revision>
  <dcterms:created xsi:type="dcterms:W3CDTF">2023-03-28T08:13:00Z</dcterms:created>
  <dcterms:modified xsi:type="dcterms:W3CDTF">2023-09-26T04:33:00Z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